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center"/>
      </w:pPr>
      <w:r>
        <w:drawing>
          <wp:inline distT="0" distB="0" distL="114300" distR="114300">
            <wp:extent cx="3352800" cy="2906395"/>
            <wp:effectExtent l="0" t="0" r="0" b="4445"/>
            <wp:docPr id="2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  <w:r>
        <w:t>DLFQL系列液位开关控制器基本部件由浮球、电缆、绳索、重锤等组成，干簧管发讯组或微动开关或水银开关全部内藏在密封的浮球内。干簧管置于浮球根部 ，磁环与动锤为一体，套在滑管上可自由滑动。当浮球顶部朝下时，动锤滑到浮球顶部 ，干簧管远离磁环，此时干簧管开路;当浮球根部朝下时，动锤滑到浮球根部，干簧管靠近磁环，干簧管吸合。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  <w:r>
        <w:rPr>
          <w:rStyle w:val="5"/>
        </w:rPr>
        <w:t>外形尺寸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  <w:r>
        <w:drawing>
          <wp:inline distT="0" distB="0" distL="114300" distR="114300">
            <wp:extent cx="8220075" cy="6134100"/>
            <wp:effectExtent l="0" t="0" r="9525" b="0"/>
            <wp:docPr id="1" name="图片 1" descr="未标题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0075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</w:p>
    <w:tbl>
      <w:tblPr>
        <w:tblW w:w="99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37"/>
        <w:gridCol w:w="2511"/>
        <w:gridCol w:w="3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3732" w:type="dxa"/>
            <w:tcBorders>
              <w:top w:val="single" w:color="D8D8D8" w:sz="4" w:space="0"/>
              <w:left w:val="single" w:color="D8D8D8" w:sz="4" w:space="0"/>
              <w:bottom w:val="single" w:color="D8D8D8" w:sz="4" w:space="0"/>
              <w:right w:val="single" w:color="D8D8D8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产品特点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1.进口技术整体塑胶成型；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2.结构简单合理，性能稳定可靠；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3.安装使用非常方便，现场调解方便；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4.可与各种水泵配套使用，并广泛用于给排水及含腐蚀、悬浮物的液体自动控制；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5.还可做成成组形式，方便多点控制。</w:t>
            </w:r>
          </w:p>
        </w:tc>
        <w:tc>
          <w:tcPr>
            <w:tcW w:w="2508" w:type="dxa"/>
            <w:tcBorders>
              <w:top w:val="single" w:color="D8D8D8" w:sz="4" w:space="0"/>
              <w:left w:val="single" w:color="D8D8D8" w:sz="4" w:space="0"/>
              <w:bottom w:val="single" w:color="D8D8D8" w:sz="4" w:space="0"/>
              <w:right w:val="single" w:color="D8D8D8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技术参数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1.触点容量：10A/220VAC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2.工作温度：PP介质冰点80℃，金属介质冰点~180℃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3.额定电流：10A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4.约定发热电流：10A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5.开关寿命：100万次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6.电缆长度：3M、5M、10M，不同长度可定制</w:t>
            </w:r>
          </w:p>
        </w:tc>
        <w:tc>
          <w:tcPr>
            <w:tcW w:w="3672" w:type="dxa"/>
            <w:tcBorders>
              <w:top w:val="single" w:color="D8D8D8" w:sz="4" w:space="0"/>
              <w:left w:val="single" w:color="D8D8D8" w:sz="4" w:space="0"/>
              <w:bottom w:val="single" w:color="D8D8D8" w:sz="4" w:space="0"/>
              <w:right w:val="single" w:color="D8D8D8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选型指南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1.浮球动作长度“a”必须小于浮球与墙壁距离“A”，否则会造成动作不正确。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2.浮球控制的最低水位必须大于水泵的枯水水位，以保护水泵。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3.浮球安装位置要避免浮球过于靠近抽水泵泵口。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MDliMDZhNTZjMDU2N2Y3ZjBlZmJiZDJhMDYxZjIifQ=="/>
  </w:docVars>
  <w:rsids>
    <w:rsidRoot w:val="7A503351"/>
    <w:rsid w:val="5B7976B8"/>
    <w:rsid w:val="7A50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422</Words>
  <Characters>468</Characters>
  <Lines>0</Lines>
  <Paragraphs>0</Paragraphs>
  <TotalTime>1</TotalTime>
  <ScaleCrop>false</ScaleCrop>
  <LinksUpToDate>false</LinksUpToDate>
  <CharactersWithSpaces>470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2023-02-10T02:03:00Z</dcterms:created>
  <dc:creator>燕子</dc:creator>
  <cp:lastModifiedBy>燕子</cp:lastModifiedBy>
  <dcterms:modified xsi:type="dcterms:W3CDTF">2023-02-10T02:05:53Z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419A33EE41374430B62BBE9379DB961A</vt:lpwstr>
  </property>
</Properties>
</file>