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(本安)防爆温度变送器是利用铂电阻的阻值随温度变化而变化，且呈一定函数关系的特性来测量被测介质的温度。变送器采用了高性能、高可靠进口铂电阻，经过精密的温度和非 线性补偿，采用性能良好的模块化信号处理工艺技术，对介质温 度进行测量校准，输出工业控制标准信号。 产品外壳采用全不锈钢一体化加工，具有体积小、热响应快等特点；导线采用专用屏蔽导线，使用温度范围宽；该产品安装方便，具有极高的抗振和抗冲击性能。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2261870</wp:posOffset>
            </wp:positionV>
            <wp:extent cx="1760220" cy="1839595"/>
            <wp:effectExtent l="0" t="0" r="7620" b="4445"/>
            <wp:wrapTight wrapText="bothSides">
              <wp:wrapPolygon>
                <wp:start x="0" y="0"/>
                <wp:lineTo x="0" y="21473"/>
                <wp:lineTo x="21506" y="21473"/>
                <wp:lineTo x="21506" y="0"/>
                <wp:lineTo x="0" y="0"/>
              </wp:wrapPolygon>
            </wp:wrapTight>
            <wp:docPr id="14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196850</wp:posOffset>
            </wp:positionV>
            <wp:extent cx="4055745" cy="1934845"/>
            <wp:effectExtent l="0" t="0" r="13335" b="635"/>
            <wp:wrapTight wrapText="bothSides">
              <wp:wrapPolygon>
                <wp:start x="0" y="0"/>
                <wp:lineTo x="0" y="21437"/>
                <wp:lineTo x="21509" y="21437"/>
                <wp:lineTo x="21509" y="0"/>
                <wp:lineTo x="0" y="0"/>
              </wp:wrapPolygon>
            </wp:wrapTight>
            <wp:docPr id="14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57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  <w:t>外形尺寸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193040</wp:posOffset>
            </wp:positionV>
            <wp:extent cx="1577340" cy="1525905"/>
            <wp:effectExtent l="0" t="0" r="7620" b="13335"/>
            <wp:wrapTight wrapText="bothSides">
              <wp:wrapPolygon>
                <wp:start x="0" y="0"/>
                <wp:lineTo x="0" y="21357"/>
                <wp:lineTo x="21496" y="21357"/>
                <wp:lineTo x="21496" y="0"/>
                <wp:lineTo x="0" y="0"/>
              </wp:wrapPolygon>
            </wp:wrapTight>
            <wp:docPr id="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1965960</wp:posOffset>
            </wp:positionV>
            <wp:extent cx="2624455" cy="1710055"/>
            <wp:effectExtent l="0" t="0" r="12065" b="12065"/>
            <wp:wrapTight wrapText="bothSides">
              <wp:wrapPolygon>
                <wp:start x="0" y="0"/>
                <wp:lineTo x="0" y="21367"/>
                <wp:lineTo x="21448" y="21367"/>
                <wp:lineTo x="21448" y="0"/>
                <wp:lineTo x="0" y="0"/>
              </wp:wrapPolygon>
            </wp:wrapTight>
            <wp:docPr id="14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  <w:t>螺纹接口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79375</wp:posOffset>
            </wp:positionV>
            <wp:extent cx="5033645" cy="3106420"/>
            <wp:effectExtent l="0" t="0" r="10795" b="2540"/>
            <wp:wrapTight wrapText="bothSides">
              <wp:wrapPolygon>
                <wp:start x="0" y="0"/>
                <wp:lineTo x="0" y="21512"/>
                <wp:lineTo x="21516" y="21512"/>
                <wp:lineTo x="21516" y="0"/>
                <wp:lineTo x="0" y="0"/>
              </wp:wrapPolygon>
            </wp:wrapTight>
            <wp:docPr id="15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  <w:t>技术参数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156210</wp:posOffset>
            </wp:positionV>
            <wp:extent cx="6118225" cy="2691130"/>
            <wp:effectExtent l="0" t="0" r="8255" b="6350"/>
            <wp:wrapTight wrapText="bothSides">
              <wp:wrapPolygon>
                <wp:start x="0" y="0"/>
                <wp:lineTo x="0" y="21529"/>
                <wp:lineTo x="21522" y="21529"/>
                <wp:lineTo x="21522" y="0"/>
                <wp:lineTo x="0" y="0"/>
              </wp:wrapPolygon>
            </wp:wrapTight>
            <wp:docPr id="15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rcRect t="563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  <w:t>量程选择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83185</wp:posOffset>
            </wp:positionV>
            <wp:extent cx="6118860" cy="1884045"/>
            <wp:effectExtent l="0" t="0" r="7620" b="5715"/>
            <wp:wrapTight wrapText="bothSides">
              <wp:wrapPolygon>
                <wp:start x="0" y="0"/>
                <wp:lineTo x="0" y="21491"/>
                <wp:lineTo x="21573" y="21491"/>
                <wp:lineTo x="21573" y="0"/>
                <wp:lineTo x="0" y="0"/>
              </wp:wrapPolygon>
            </wp:wrapTight>
            <wp:docPr id="15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24"/>
          <w:szCs w:val="24"/>
          <w:shd w:val="clear" w:fill="FFFFFF"/>
          <w:lang w:val="en-US" w:eastAsia="zh-CN"/>
        </w:rPr>
        <w:t>注意：</w:t>
      </w:r>
      <w:r>
        <w:rPr>
          <w:rStyle w:val="5"/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 xml:space="preserve">1测温时，测温元件要与被测对象达到热平衡。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 xml:space="preserve">2 插入深度要准确。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 xml:space="preserve">3安装前请仔细阅读产品使用说明书，并核对产品的相关信息。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 xml:space="preserve">4 严格按照接线方式接线，否则会导致产品损坏和其他潜在故障。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5 错误的使用，会导致危险和人身伤害。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0780"/>
    <w:rsid w:val="5DEC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style01"/>
    <w:basedOn w:val="4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2022-04-25T07:30:00Z</dcterms:created>
  <dc:creator>燕子</dc:creator>
  <cp:lastModifiedBy>燕子</cp:lastModifiedBy>
  <dcterms:modified xsi:type="dcterms:W3CDTF">2022-04-25T07:30:24Z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EFF20ED7DE0C4300AF6A9E666FC5A01F</vt:lpwstr>
  </property>
  <property fmtid="{D5CDD505-2E9C-101B-9397-08002B2CF9AE}" pid="4" name="commondata">
    <vt:lpwstr>eyJoZGlkIjoiZjQwMDliMDZhNTZjMDU2N2Y3ZjBlZmJiZDJhMDYxZjIifQ==</vt:lpwstr>
  </property>
</Properties>
</file>